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黑体_GBK" w:cs="Times New Roman"/>
          <w:b w:val="0"/>
          <w:sz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sz w:val="32"/>
        </w:rPr>
        <w:t>附件</w:t>
      </w:r>
      <w:r>
        <w:rPr>
          <w:rFonts w:hint="eastAsia" w:ascii="Times New Roman" w:hAnsi="Times New Roman" w:eastAsia="方正黑体_GBK" w:cs="Times New Roman"/>
          <w:b w:val="0"/>
          <w:sz w:val="32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7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sz w:val="40"/>
          <w:szCs w:val="40"/>
          <w:lang w:val="en-US" w:eastAsia="zh-CN"/>
        </w:rPr>
        <w:t>开封市</w:t>
      </w:r>
      <w:r>
        <w:rPr>
          <w:rFonts w:hint="default" w:ascii="Times New Roman" w:hAnsi="Times New Roman" w:eastAsia="方正小标宋_GBK" w:cs="Times New Roman"/>
          <w:b w:val="0"/>
          <w:sz w:val="40"/>
          <w:szCs w:val="40"/>
        </w:rPr>
        <w:t>2020年重污染天气绩效评级</w:t>
      </w:r>
      <w:r>
        <w:rPr>
          <w:rFonts w:hint="eastAsia" w:ascii="Times New Roman" w:hAnsi="Times New Roman" w:eastAsia="方正小标宋_GBK" w:cs="Times New Roman"/>
          <w:b w:val="0"/>
          <w:sz w:val="40"/>
          <w:szCs w:val="40"/>
          <w:lang w:val="en-US" w:eastAsia="zh-CN"/>
        </w:rPr>
        <w:t>新增（调整）民生豁免</w:t>
      </w:r>
      <w:r>
        <w:rPr>
          <w:rFonts w:hint="default" w:ascii="Times New Roman" w:hAnsi="Times New Roman" w:eastAsia="方正小标宋_GBK" w:cs="Times New Roman"/>
          <w:b w:val="0"/>
          <w:sz w:val="40"/>
          <w:szCs w:val="40"/>
        </w:rPr>
        <w:t>企业名单</w:t>
      </w:r>
    </w:p>
    <w:tbl>
      <w:tblPr>
        <w:tblStyle w:val="4"/>
        <w:tblW w:w="130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5114"/>
        <w:gridCol w:w="2026"/>
        <w:gridCol w:w="3108"/>
        <w:gridCol w:w="21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6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lang w:bidi="ar"/>
              </w:rPr>
              <w:t>序号</w:t>
            </w:r>
          </w:p>
        </w:tc>
        <w:tc>
          <w:tcPr>
            <w:tcW w:w="511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lang w:bidi="ar"/>
              </w:rPr>
              <w:t>企业名称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lang w:bidi="ar"/>
              </w:rPr>
              <w:t>区县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  <w:t>行业类型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  <w:t>保障类型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1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河南博灿新材料科技有限公司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顺河回族区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炭素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涉外贸订单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1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开封誉彩包装科技有限公司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禹王台区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涉外贸订单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11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开封青天伟业流量仪表有限公司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祥符区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涉外贸订单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11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河南天冠铝业有限公司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杞县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涉外贸订单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11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杞县远洋铝业有限公司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杞县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涉外贸订单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11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开封格瑞丰特新材料有限公司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杞县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炭素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涉外贸订单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11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河南省坤森木业有限公司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杞县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人造板制造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涉外贸订单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11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兰考玉禄纸品有限公司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涉外贸订单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11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河南省恒宇木制品有限公司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家具制造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涉外贸订单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11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兰考县迎春木业有限公司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家具制造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涉外贸订单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11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兰考县金桐木业有限公司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家具制造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涉外贸订单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11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河南纳森木业有限公司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通许县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人造板制造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涉外贸订单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11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河南康森木业有限责任公司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通许县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人造板制造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涉外贸订单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11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河南克诺木业有限公司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人造板制造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涉外贸订单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11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郑州市东湖木业有限公司尉氏分公司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人造板制造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涉外贸订单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11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开封市晟鑫铜业有限公司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有色金属压延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涉外贸订单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11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河南国网电缆集团有限公司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涉外贸订单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11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开封凯乐实业有限公司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金属表面处理及热处理加工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涉外贸订单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11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河南嘉和木业有限公司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人造板制造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涉外贸订单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（外单延期）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11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尉氏县久龙橡塑有限公司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橡胶制品制造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涉外贸订单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（外单延期）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11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中国平煤神马集团开封兴化精细化工有限公司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禹王台区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涉外贸订单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（外单延期）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11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河南省华艺铝业有限公司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杞县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杞县涉农民生保障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940"/>
          <w:tab w:val="left" w:pos="6120"/>
          <w:tab w:val="left" w:pos="6300"/>
          <w:tab w:val="left" w:pos="8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10" w:rightChars="10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531" w:right="1984" w:bottom="1531" w:left="1644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left</wp:align>
              </wp:positionH>
              <wp:positionV relativeFrom="margin">
                <wp:align>outside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210" w:leftChars="100" w:right="210" w:rightChars="100"/>
                            <w:rPr>
                              <w:rStyle w:val="6"/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vert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left;mso-position-horizontal-relative:page;mso-position-vertical:outside;mso-position-vertical-relative:margin;mso-wrap-style:none;z-index:251658240;mso-width-relative:page;mso-height-relative:page;" filled="f" stroked="f" coordsize="21600,21600" o:gfxdata="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WVd+oNAAAAAFAQAADwAAAAAAAAABACAAAAAiAAAA&#10;ZHJzL2Rvd25yZXYueG1sUEsBAhQAFAAAAAgAh07iQLqsOw3WAQAAsAMAAA4AAAAAAAAAAQAgAAAA&#10;Hw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layout-flow:vertical;mso-fit-shape-to-text:t;">
                <w:txbxContent>
                  <w:p>
                    <w:pPr>
                      <w:pStyle w:val="2"/>
                      <w:ind w:left="210" w:leftChars="100" w:right="210" w:rightChars="100"/>
                      <w:rPr>
                        <w:rStyle w:val="6"/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2353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ubtitle"/>
    <w:basedOn w:val="1"/>
    <w:next w:val="1"/>
    <w:qFormat/>
    <w:uiPriority w:val="11"/>
    <w:pPr>
      <w:jc w:val="left"/>
      <w:outlineLvl w:val="1"/>
    </w:pPr>
    <w:rPr>
      <w:rFonts w:ascii="Calibri" w:hAnsi="Calibri" w:eastAsia="宋体" w:cs="Times New Roman"/>
      <w:b/>
      <w:bCs/>
      <w:kern w:val="28"/>
      <w:szCs w:val="32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2020-12-22T02:00:56Z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